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D" w:rsidRDefault="00C3476D" w:rsidP="0099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ТЕПЛОСНАБЖЕНИЯ № ______________</w:t>
      </w:r>
    </w:p>
    <w:p w:rsidR="00990E41" w:rsidRDefault="00990E41" w:rsidP="0099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990E41" w:rsidRPr="00842C39" w:rsidTr="00CF2A8E">
        <w:trPr>
          <w:trHeight w:val="250"/>
        </w:trPr>
        <w:tc>
          <w:tcPr>
            <w:tcW w:w="4926" w:type="dxa"/>
          </w:tcPr>
          <w:p w:rsidR="00990E41" w:rsidRDefault="00990E41" w:rsidP="00CF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Маслянино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E41" w:rsidRDefault="00990E41" w:rsidP="00CF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Маслянинский район</w:t>
            </w:r>
          </w:p>
          <w:p w:rsidR="00990E41" w:rsidRPr="00842C39" w:rsidRDefault="00990E41" w:rsidP="00CF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990E41" w:rsidRPr="00842C39" w:rsidRDefault="00990E41" w:rsidP="00CF2A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«___» _____________ 201__ года</w:t>
            </w:r>
          </w:p>
          <w:p w:rsidR="00990E41" w:rsidRPr="00842C39" w:rsidRDefault="00990E41" w:rsidP="00CF2A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41" w:rsidRPr="00842C39" w:rsidRDefault="00990E41" w:rsidP="00CF2A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код абонента №_____________</w:t>
            </w:r>
          </w:p>
          <w:p w:rsidR="00990E41" w:rsidRPr="00842C39" w:rsidRDefault="00990E41" w:rsidP="00CF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E41" w:rsidRPr="00B871E6" w:rsidRDefault="00990E41" w:rsidP="0099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44956" w:rsidRPr="00CF79DD" w:rsidRDefault="00844956" w:rsidP="00844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 с ограниченной ответственностью «</w:t>
      </w:r>
      <w:r w:rsidR="00990E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Фагот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 (ООО «</w:t>
      </w:r>
      <w:r w:rsidR="00990E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Фагот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»), 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</w:t>
      </w:r>
      <w:r w:rsidR="00B40D8B">
        <w:rPr>
          <w:rFonts w:ascii="Times New Roman" w:hAnsi="Times New Roman" w:cs="Times New Roman"/>
          <w:color w:val="000000"/>
          <w:sz w:val="20"/>
          <w:szCs w:val="20"/>
        </w:rPr>
        <w:t>Поставщик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», в лице директора </w:t>
      </w:r>
      <w:r w:rsidR="00990E41">
        <w:rPr>
          <w:rFonts w:ascii="Times New Roman" w:hAnsi="Times New Roman" w:cs="Times New Roman"/>
          <w:color w:val="000000"/>
          <w:sz w:val="20"/>
          <w:szCs w:val="20"/>
        </w:rPr>
        <w:t>Захарова Евгения Александровича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Устава, с одной стороны, и </w:t>
      </w:r>
    </w:p>
    <w:p w:rsidR="00844956" w:rsidRPr="00CF79DD" w:rsidRDefault="00844956" w:rsidP="00844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79D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, именуемо</w:t>
      </w:r>
      <w:proofErr w:type="gramStart"/>
      <w:r w:rsidRPr="00CF79DD"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</w:t>
      </w:r>
      <w:r w:rsidRPr="00CF79DD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Потребитель</w:t>
      </w:r>
      <w:r w:rsidRPr="00CF79DD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, в лице _____________________________________________, действующего на основании __________________________, с другой стороны, именуемые вместе Стороны, заключили настоящий договор о нижеследующем:</w:t>
      </w: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84495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1.1. Поставщик обязуется подавать Потребителю через присоединенную сеть тепловую энергию в горячей воде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="008449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отопления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вентиляции объектов Потребителя, </w:t>
      </w:r>
    </w:p>
    <w:p w:rsidR="00C3476D" w:rsidRPr="00B871E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>оказывать услуги по поддержанию резервной тепловой мощности в объеме и на условиях, предусмотренных настоящим договором, а Потребитель обязуется принимать и своевременно в полном объеме оплачивать полученную тепловую энергию согласно действующему тарифу и услуги по поддержанию резервной тепловой мощности, а также соблюдать согласованный в договоре режим ее потребления, обеспечивать безопасность эксплуатации находящихся в его ведении сетей и исправность используемых им приборов</w:t>
      </w:r>
      <w:proofErr w:type="gramEnd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оборудования, </w:t>
      </w:r>
      <w:proofErr w:type="gramStart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>связанных</w:t>
      </w:r>
      <w:proofErr w:type="gramEnd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потреблением тепловой энергии.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1.2. Границы раздела зон ответственности за техническое состояние и обслуживание тепловых сетей Поставщика и Потребителя</w:t>
      </w:r>
      <w:r w:rsidR="003D6564">
        <w:rPr>
          <w:rFonts w:ascii="Times New Roman" w:hAnsi="Times New Roman" w:cs="Times New Roman"/>
          <w:color w:val="000000"/>
          <w:sz w:val="20"/>
          <w:szCs w:val="20"/>
        </w:rPr>
        <w:t>, а также точка поставки тепловой энергии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Актом разграничения балансовой принадлежности тепловых сетей и эксплуатационной ответственности сторон (Приложения № 2), которые являются неотъемлемой частью договора.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1.3. Величина тепловой нагрузки теплопотребляющих установок Потребителя определяется в соответствии с утвержденной в установленном порядке проектной документацией, заверенную надлежащим образом копию которой Потребитель обязан предоставить Поставщику, и отражается в Приложении № 1.1 к договору. Во всех остальных случаях величина тепловой нагрузки определяется в соответствии с ранее выданными Поставщиком техническими условиями.</w:t>
      </w: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 внесения изменений в проектную документацию на объект Потребителя, влекущих изменение указанной в настоящем договоре тепловой нагрузки, Потребитель обязан незамедлительно в письменном виде сообщить об этом Поставщику.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1.4. Параметры качества теплоснабжения (характеристики теплоснабжения и термодинамические параметры теплоносителя), обеспечиваемые Поставщиком на границе раздела зон ответственности, определяются в соответствии с Правилами технической эксплуатации тепловых энергоустановок.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1.5. Режим потребления тепловой энергии (процесс потребления тепловой энергии, теплоносителя с соблюдением потребителем следующих обязательных характеристик этого процесса) определяется в соответствии с действующими нормативно-правовыми актами и техническими регламентами.</w:t>
      </w:r>
    </w:p>
    <w:p w:rsidR="00C3476D" w:rsidRPr="0039323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.6. </w:t>
      </w:r>
      <w:proofErr w:type="gramStart"/>
      <w:r w:rsidRPr="00393238">
        <w:rPr>
          <w:rFonts w:ascii="Times New Roman" w:hAnsi="Times New Roman" w:cs="Times New Roman"/>
          <w:color w:val="000000"/>
          <w:sz w:val="20"/>
          <w:szCs w:val="20"/>
        </w:rPr>
        <w:t>Договорн</w:t>
      </w:r>
      <w:r w:rsidR="006E51C6" w:rsidRPr="00393238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й объем тепловой энергии (мощности) и (или) теплоносителя, подлежащий поставкам Поставщиком и приобретению Потребителем, определены в Приложении № 1.1 к настоящему договору, которые являются его неотъемлемой частью.</w:t>
      </w:r>
      <w:proofErr w:type="gramEnd"/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договорных объемов поставки тепловой энергии и (или) теплоносителя производится по соглашению сторон, а также в случаях предусмотренных настоящим договором с оформлением дополнительных соглашений к настоящему договору.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jc w:val="center"/>
      </w:pP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И ПРАВА ПОСТАВЩИКА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2.1. Поставщик обязуется: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2.1.1. На границе эксплуатационной ответственности: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а) Поддерживать должные параметры качества теплоснабжения Потребителя;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обеспечить надежность теплоснабжения.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2.1.2. Проводить в случаях предусмотренным настоящим договором изменение договорных величин потребления тепловой энергии в пределах, определенных на основании нагрузок, указанных в проектной документации, утвержденной в установленном порядке, при направлении заявок Потребителя в установленные сроки. </w:t>
      </w:r>
    </w:p>
    <w:p w:rsidR="00C3476D" w:rsidRPr="006135A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2.1.3. </w:t>
      </w:r>
      <w:r w:rsidRPr="006135A8">
        <w:rPr>
          <w:rFonts w:ascii="Times New Roman" w:hAnsi="Times New Roman" w:cs="Times New Roman"/>
          <w:sz w:val="20"/>
          <w:szCs w:val="20"/>
        </w:rPr>
        <w:t>Оперативно извещать Потребителя в случае: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нарушений, связанных с перерывом теплоснабжения по вине Поставщика, их причине и сроках восстановления нормального режима теплоснабжения;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неисправностей оборудования, тепловых сетей, находящихся на территории Поставщика, и обеспечивающих его надежное теплоснабжение.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2.1.4. Уведомлять Потребителя о началах и сроках перерывов в подаче тепловой энергии за 10 дней при производстве плановых ремонтов.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2.2. Поставщик имеет право: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2.2.1. Ограничивать и прекращать отпуск тепловой энергии с соблюдением установленного порядка, в следующих случаях: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а) неисполнение или ненадлежащее исполнение Потребителем обязательств по оплате тепловой энергии и (или) теплоносителя, в том числе обязательств по их предварительной оплате, 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размере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превышающем размер платы более чем 1 период платежа,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прекращение обязатель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ств 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орон по договору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в) выявление фактов бездоговорного потребления тепловой энергии и (или) теплоносителя;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г) возникновение (угроза возникновения) аварийных ситуаций в системе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д) наличие обращения Потребителя о введении ограничения;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е) иные случаи, предусмотренные нормативными правовыми актами Российской Федерации.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2.2.2.Для принятия неотложных мер по предупреждению и/или ликвидации аварии производить ограничение отпуска теплоэнергии с немедленным уведомлением Потребителя.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2.2.3. Осуществлять контроль соблюдения Потребителем условий настоящего договора, в том числе технического состояния систем теплопотребления, величины потребления тепловой энергии и (или) теплоносителя, согласованной настоящим договором, а так же требовать исполнения Потребителем условий настоящего договора.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узлов учета Абонента, в присутствии Абонента с составлением двустороннего акта.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2.2.5. Снимать контрольные показания и осуществлять проверку условий эксплуатации и сохранности приборов учета, установленных у Потребителя, не чаще 1 раза в квартал. Потребитель обязан обеспечить доступ представителю Поставщика к приборам учета.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2.2.6. Выдавать предписания об устранении нарушений потребителем требований по обеспечению эксплуатации тепловых энергоустановок согласно ПТЭТЭ.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2.2.7. Производить необходимые переключения в теплопотребляющих установках Потребителя в присутствии его представителя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2.2.8. Взыскать с Потребителя, осуществившего бездоговорное потребление тепловой энергии и (или) теплоносителя, убытки в полуторакратном размере стоимости тепловой энергии и (или) теплоносителя. Расчет объема и стоимости бездоговорного потребления определяется на основании акта о выявлении бездоговорного потребления в соответствии с действующим законодательством РФ.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2.2.9. Требовать в установленном законодательством РФ порядке компенсации Потребителем затрат, понесенных Поставщиком в связи с введением ограничения и восстановления подачи тепловой энергии и (или) теплоносителя.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ПРАВА И ОБЯЗАННОСТИ ПОТРЕБИТЕЛЯ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3.1. Потребитель обязуется: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3.1.1. Исполнять условия настоящего договора и оплачивать потребленную тепловую энергию и или теплоноситель, а также осуществлять иные платежи по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3.1.2. Не допускать присоединения к тепловой сети потребителей тепловой энергии без согласования с Поставщиком, а также реконструкции или замены устройств, предназначенных для использования тепловой энергии, теплоносителя, изменяющих величину тепловой нагрузки теплопотребляющих установок Потребителя без внесения соответствующих изменений в проектную документацию на объекты 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3.1.3. В целях осуществления оперативной ликвидации возникающих аварийных ситуаций обеспечивать беспрепятственный доступ в любое время суток работников Поставщика к действующим теплопотребляющим установкам, с уведомлением телефонограммой за 1 час.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3.1.4. Обеспечить беспрепятственный доступ работников Поставщика к приборам учета и теплопотребляющим установкам в целях проведения проверок. Данная проверка Потребителя может осуществляться не чаще чем один раз в квартал.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3.1.5. Представлять Поставщику заявку на годовое потребление тепловой энергии с помесячной разбивкой на будущий год не позднее 01 марта текущего года. При предоставлении договорных объемов в установленный срок, стороны подписывают Приложение № 1.1. Если объем потребления не заявлен в указанные сроки, в следующем году действуют договорные объемы потребления текущего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3.1.6. Уведомлять в течение 3 (трех) рабочих дней Поставщика обо всех изменениях, в том числе об изменении наименования Потребителя, места регистрации и (или) почтовых реквизитов для переписки,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контактных телефонов, банковских реквизитов, а также об утрате прав на объект, теплоснабжение которого осуществляется в рамках настоящего договора. В течение срока, установленного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принятия уполномоченным органом Потребителя решения либо Арбитражным судом судебного акта о реорганизации (ликвидации) Потребителя, письменно уведомить Поставщика о предстоящей реорганизации (ликвидации).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3.1.7. Обеспечить на границе балансовой принадлежности (эксплуатационной ответственности) Сторон соблюдение обязательных характеристик процесса потребления тепловой энергии (теплоносителя), в том числе параметры качества возвращаемого теплоносителя в соответствии с действующими нормативно-правовыми актами и техническими регламентами.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3.1.8. Производить замену дроссельных устройств (сопел, шайб) с разрешения и в присутствии представителя Поставщика, с оформлением двухстороннего акта.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3.1.9. Производить изменение проектных схем теплопотребляющих установок, в том числе установок дополнительных приборов отопления только при наличии письменного согласования с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3.1.10. Обеспечивать среднесуточную температуру сетевой воды в обратном трубопроводе с отклонением не выше 5% по сравнению с температурным графиком.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3.1.11. Поддерживать давление в обратном трубопроводе со стороны теплопотребляющих устройств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достаточным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обеспечения полного залива местной системы. При давлении ниже требуемого Потребитель устанавливает на тепловом вводе регулятор давления.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3.1.12. Отключать свои теплопотребляющие установки в сроки, установленные Поставщиком, для проведения ремонтных работ в тепловых сетях и установках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3.1.13. Обеспечивать организацию коммерческого учета потребляемых тепловой энергии и теплоносителя, проводить техническое обслуживание и поверку приборов учёта тепловой энергии и теплоносителя в соответствии с требованиями законодательства РФ.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3.1.14. Обеспечивать сохранность и работоспособность, в зоне его эксплуатационной ответственности, инженерных систем и оборудования, в том числе приборов учета тепловой энергии. При обнаружении неисправности приборов учёта, принадлежащих Потребителю, или их не соответствия требованиям действующего законодательства РФ, произвести их ремонт или замену и известить в течение суток Поставщика обо всех случаях неисправности приборов и схем коммерческого учета с оформлением двустороннего акта. Выполнять требование Поставщика по</w:t>
      </w:r>
      <w:r w:rsidR="00AC15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замене неисправных приборов учета. До момента восстановления работоспособности или замены прибора учета расчет расхода тепловой энергии, и (или) теплоносителя за данный отчетный период производится в соответствии с разделом 4 настоящего договора.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3.1.15. Обслуживать эксплуатируемые Потребителем тепловые сети, теплопотребляющие установки, коммерческие приборы учёта обученным персоналом с назначением ответственных лиц за исправное состояние и безопасную эксплуатацию систем теплопотребления, аттестованных в установленном порядке и периодически проводить проверку знаний персонала.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3.1.16. Обеспечить эксплуатацию тепловых электроустановок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согласно требований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ПТЭТЭ и выполнять предписания Поставщика об устранении выявленных нарушений требований по обеспечению эксплуатации тепловых энергоустановок согласно ПТЭТЭ.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3.1.17. Обеспечивать безопасность эксплуатации и исправность теплопотребляющего оборудования и сетей, их соответствия установленным техническим требованиям, выданным техническим условиям и проектной документацией. Немедленно, после обнаружения, извещать Поставщика обо всех неисправностях тепловых сетей и теплопотребляющих установок и устранять неполадки в сроки, согласованные с Поставщиком, принимать участие в работе комиссий по обследованию тепловых сетей, теплопотребляющих установок и установлению причин аварий, неисправностей, с последующим оформлением соответствующего акта.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3.1.18. Проводить необходимый объём работ по подготовке тепловых сетей и теплопотребляющих установок к началу отопительного периода, в том числе промывку тепловых сетей и теплопотребляющих установок после окончания отопительного периода, а также после выполнения ремонтных работ с предоставлением протокола лабораторных исследований воды из системы отопления. 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Ежегодно не позднее 01 сентября оформлять и предъявлять Поставщику акт проверки готовности тепловых сетей и теплопотребляющих установок к эксплуатации в отопительном периоде.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3.1.19. Не допускать утечки и разбора теплоносителя, не предусмотренные договором и принимать неотложные меры по их устранению. Потери теплоносителя и тепловой энергии содержащейся в нем, в результате сверхнормативной утечки при авариях, нерегламентированных сливах, несанкционированном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водоразборе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других подобных случаях оформляются представителем Поставщика совместно с Потребителем двухсторонним актом.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3.1.20. При расторжении настоящего договора произвести полную оплату за тепловую энергию и (или) теплоноситель.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3.1.21. Возвращать Поставщику в течение трех рабочих дней с момента получения, подписанные со своей стороны, акты сверок взаимных расчетов и акты фактического потребления тепловой энергии и (или) теплоносителя.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3.2. Потребитель имеет право: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3.2.1. Требовать отключения своих тепловых сетей от сетей Поставщика для проведения неотложных работ при условии, что такое отключение не приведет к изменению режима поставок тепловой энергии иным потребителям.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3.2.2. Получить от Поставщика разъяснение вопросов, связанных с режимами отпуска тепловой энергии и теплоносителя, а также расчётов за них.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3.2.3. Направлять заявку Поставщику на изменение заявленного объема потребления тепловой энергии и (или) теплоносителя не менее чем за 90 дней до окончания срока действия настоящего договора. Изменение (пересмотр) тепловых нагрузок осуществляется в порядке, определяемом уполномоченным федеральным органом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исполнительной власти РФ.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3.2.4. Возложить обязательство по оплате потребленной тепловой энергии и (или) теплоносителя на третьих лиц, в том числе на субабонентов (ст. 313 ГК РФ), при этом в основании платежного документа плательщик должен указать наименование Абонента, номер и дату настоящего Договора, вид оплачиваемого товара. Абонент несет ответственность за неисполнение или ненадлежащее исполнение денежного обязательства третьими лицами.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3.2.5. Присоединять и/или подключать к своим тепловым сетям субабонентов с письменного разрешения Поставщика, а также теплопотребляющие установки с соблюдением установленного порядка подключения.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УЧЕТ ПОТРЕБЛЕНИЯ ТЕПЛОЭНЕРГИИ И ТЕПЛОНОСИТЕЛЯ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4.1. Количество тепловой энергии, 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поставляемых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договору, подлежит коммерческому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учету.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4.2. Коммерческий учет тепловой энергии, теплоносителя осуществляется путем их измерения приборами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установленными в точке учета, расположенной на границе балансовой принадлежности (эксплуатационной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ответственности) Сторон. Технические данные приборов учета (узла учета), используемых для целей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коммерческого учета (при наличии), измеряемые ими параметры, а также места их расположения установлены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приложении № 3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4.3. При размещении узла учёта тепловой энергии не на границе балансовой принадлежности, потери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на участке тепловой сети между местом установки узла учёта и указанной границей,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определяются расчётным путем и учитываются в актах потребления тепловой энергии дополнительно к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показаниям приборов учёта.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4.4. Перед каждым отопительным периодом и после очередной поверки или ремонта приборов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осуществляется проверка готовности данного узла учета к эксплуатации, о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составляется акт периодической поверки узла учета на границе раздела смежных тепловых сетей в порядке,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установленном действующим законодательством. Прибор учета тепловой энергии и теплоносителя пломбируется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 установленном порядке представителем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4.5. Потребитель несет ответственность за сохранность установленных в точке учета, расположенной на границе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балансовой принадлежности (эксплуатационной ответственности) Сторон, приборов учета, пломб установленных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 них, автоматики и гарантирует их нормальную работу. Потребитель обязуется проводить ежегодно ремонт 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наладку оборудования, контрольно-измерительных приборов под контролем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4.6. Показания приборов учета Потребителя ежесуточно, в одно и то же время фиксируются в журналах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установленной формы. Время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начала записей показаний приборов узла учета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журнале фиксируется актом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допуска узла учета в эксплуатацию. К журналу прилагаются записи показаний приборов, регистрирующих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параметры 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по требованию Поставщика обязан представлять Поставщику копию журналов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теплоносителя.</w:t>
      </w:r>
    </w:p>
    <w:p w:rsidR="00825A5C" w:rsidRPr="00842C39" w:rsidRDefault="00C3476D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4.7.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в последний день текущего месяца, а в отношении нежилых помещений, расположенных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многоквартирных жилых домах не позднее 26 числа текущего месяца (если на данный день приходится выходной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(праздничный) день – то в предшествующий ему рабочий день), снимает показания (сведения о количестве)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прибора учета тепловой энергии и теплоносителя за расчетный период и предоставляет их Поставщику до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окончания 2-го дня месяца следующего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за расчетным. </w:t>
      </w:r>
      <w:r w:rsidR="00825A5C" w:rsidRPr="00842C39">
        <w:rPr>
          <w:rFonts w:ascii="Times New Roman" w:hAnsi="Times New Roman" w:cs="Times New Roman"/>
          <w:sz w:val="20"/>
          <w:szCs w:val="20"/>
        </w:rPr>
        <w:t>Показания принимаются следующими способами:</w:t>
      </w:r>
    </w:p>
    <w:p w:rsidR="00980384" w:rsidRPr="00ED447C" w:rsidRDefault="00980384" w:rsidP="00980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по электронной почте на адрес: </w:t>
      </w:r>
      <w:r w:rsidRPr="00ED447C">
        <w:rPr>
          <w:rStyle w:val="a9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teplo.maslyanino@gmail.com</w:t>
      </w:r>
      <w:r w:rsidRPr="00ED447C">
        <w:rPr>
          <w:rFonts w:ascii="Times New Roman" w:hAnsi="Times New Roman" w:cs="Times New Roman"/>
          <w:b/>
          <w:sz w:val="20"/>
          <w:szCs w:val="20"/>
        </w:rPr>
        <w:t>;</w:t>
      </w:r>
    </w:p>
    <w:p w:rsidR="00980384" w:rsidRPr="00ED447C" w:rsidRDefault="00980384" w:rsidP="00980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D447C">
        <w:rPr>
          <w:rFonts w:ascii="Times New Roman" w:hAnsi="Times New Roman" w:cs="Times New Roman"/>
          <w:sz w:val="20"/>
          <w:szCs w:val="20"/>
        </w:rPr>
        <w:t>+7 (383-47) 22-5-52;</w:t>
      </w:r>
    </w:p>
    <w:p w:rsidR="00980384" w:rsidRPr="00842C39" w:rsidRDefault="00980384" w:rsidP="00980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нарочным по адресу: </w:t>
      </w:r>
      <w:r>
        <w:rPr>
          <w:rFonts w:ascii="Times New Roman" w:hAnsi="Times New Roman" w:cs="Times New Roman"/>
          <w:sz w:val="20"/>
          <w:szCs w:val="20"/>
        </w:rPr>
        <w:t xml:space="preserve">р. п. Маслянино,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</w:t>
      </w:r>
      <w:r w:rsidR="0084173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7 офис 4;</w:t>
      </w:r>
    </w:p>
    <w:p w:rsidR="00825A5C" w:rsidRPr="00842C3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теплосеть</w:t>
      </w:r>
      <w:r w:rsidR="00350FC8">
        <w:rPr>
          <w:rFonts w:ascii="Times New Roman" w:hAnsi="Times New Roman" w:cs="Times New Roman"/>
          <w:sz w:val="20"/>
          <w:szCs w:val="20"/>
        </w:rPr>
        <w:t>маслянино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непредставлении сведений о количестве потребленной тепловой энергии Поставщик самостоятельно</w:t>
      </w:r>
      <w:r w:rsidR="00825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 акт потребления тепловой энергии, и количество потребленной тепловой энергии определяется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расчету согласно Приложению № 1.1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4.8. Нарушение требований эксплуатации приборов учета, установленных соответствующими правилами,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приравнивается к выходу из строя приборов (узла) учета тепловой энергии потребителя. Время выхода из строя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приборов (узла) учета фиксируется соответствующей записью в журнале с немедленным (не более чем в течение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суток) уведомлением об этом Поставщика и оформляется Протоколом.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обязан сообщить Поставщику данные о показаниях приборов учета на момент их выхода из строя.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4.9.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выходе из строя хотя бы одного из приборов учета, расчет количества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осуществляется на основании показаний этих приборов, взятых за предшествующие выходу из строя 3 (трех)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суток, но на период не более 15 (пятнадцати) суток.</w:t>
      </w:r>
      <w:proofErr w:type="gramEnd"/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Срок восстановления Потребителем работоспособности прибора учета в случае его временного выхода из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эксплуатации или утраты составляет 15 суток.</w:t>
      </w:r>
    </w:p>
    <w:p w:rsidR="00C3476D" w:rsidRPr="00B871E6" w:rsidRDefault="00C3476D" w:rsidP="0085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Если по истечении 15 (пятнадцати) суток работоспособность приборов учета не будет восстановлена, количество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потребленной тепловой энергии определяется на основании Приложения № 1.1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4.10. При выходе из строя хотя бы одного из приборов узла учета Потребитель в течение 3 (трех) суток уведомляет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этом Поставщика. При несвоевременном сообщении Потребителем о нарушении режима и условий работы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приборов (узла) учета и о выходе его из строя положения п. 4.7. настоящего договора не применяются, узел учета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считается вышедшим из строя с момента его последней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поверки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количество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определяется на основании Приложения № 1.1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4.11. После истечения срока действия поверки хотя бы одного из приборов узла учета узел учета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вышедшим из строя, а показания приборов этого узла учета не учитываются при взаимных расчетах между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и Потребителем. При этом количество потребленной тепловой энергии определяется на основании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Приложения № 1.1 к настоящему договору.</w:t>
      </w:r>
    </w:p>
    <w:p w:rsidR="00C3476D" w:rsidRPr="00AA74AE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4.12. При отсутствии приборов учета, а также в случае отсутствии Акта допуска в эксплуатацию приборов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количество отпускаемой тепловой энергии Потребителю рассчитывается Поставщиком на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основании Приложения</w:t>
      </w:r>
      <w:r w:rsidR="00DD188F"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№ 1.1 к настоящему договору.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УСЛОВИЯ И ПОРЯДОК РАСЧЕТОВ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5.1. Расчет за потребленную тепловую энергию производится по тарифу, установленному решениями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уполномоченного органа исполнительной власти в области государственного регулирования тарифов.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5.2. Изменение тарифа в период действия договора не требует его переоформления. Решения уполномоченного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органа исполнительной власти в области государственного регулирования тарифов являются основанием для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изменения Поставщиком тарифа в одностороннем порядке со дня, указанного в этих Решениях. Потребитель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извещается об изменении тарифов на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теплоэнергию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опубликования соответствующей информации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средствах массовой информации.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D5C74" w:rsidRPr="00B871E6" w:rsidRDefault="00AD5C74" w:rsidP="00AD5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5.3. </w:t>
      </w:r>
      <w:r w:rsidRPr="00B871E6">
        <w:rPr>
          <w:rFonts w:ascii="Times New Roman" w:hAnsi="Times New Roman" w:cs="Times New Roman"/>
          <w:sz w:val="20"/>
          <w:szCs w:val="20"/>
        </w:rPr>
        <w:t>Расчеты по настоящему договору осуществляются в следующие сроки:</w:t>
      </w:r>
    </w:p>
    <w:p w:rsidR="00AD5C74" w:rsidRPr="00B871E6" w:rsidRDefault="00AD5C74" w:rsidP="00AD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sz w:val="20"/>
          <w:szCs w:val="20"/>
        </w:rPr>
        <w:t>- до 18 числа расчетного месяца 35% согласно Приложению № 1.1 к настоящему договору (1-й период платежа);</w:t>
      </w:r>
    </w:p>
    <w:p w:rsidR="00AD5C74" w:rsidRPr="00B871E6" w:rsidRDefault="00AD5C74" w:rsidP="00AD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71E6">
        <w:rPr>
          <w:rFonts w:ascii="Times New Roman" w:hAnsi="Times New Roman" w:cs="Times New Roman"/>
          <w:sz w:val="20"/>
          <w:szCs w:val="20"/>
        </w:rPr>
        <w:t>- до последнего числа расчетного месяца 50% согласно Приложению № 1.1 к настоящему договору (2-й период платежа);</w:t>
      </w:r>
      <w:proofErr w:type="gramEnd"/>
    </w:p>
    <w:p w:rsidR="00AD5C74" w:rsidRPr="00B871E6" w:rsidRDefault="00AD5C74" w:rsidP="00AD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71E6">
        <w:rPr>
          <w:rFonts w:ascii="Times New Roman" w:hAnsi="Times New Roman" w:cs="Times New Roman"/>
          <w:sz w:val="20"/>
          <w:szCs w:val="20"/>
        </w:rPr>
        <w:t>- до 10 числа месяца, следующего за расчетным, производится окончательная оплата за  фактически потребленную тепловую энергию в расчетном периоде за вычетом авансовых платежей.</w:t>
      </w:r>
      <w:proofErr w:type="gramEnd"/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5.4. Счета-фактуры и акты выполненных работ за расчетный период Потребитель самостоятельно получает 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Поставщика до 10 числа месяца следующего за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Акт выполненных работ в течение 7 дней после получения подписывается Потребителем и возвращается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Поставщику, в случае не подписания акта и не представления его в течение 7 дней с мотивированным отказом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подписания, акт считается подписанным и согласованным в 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5.5. Неполучение Потребителем платежных документов не освобождает Потребителя от надлежащего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исполнения обязательств по своевременной и полной оплате потребляемой тепловой энергии и теплоносителя за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расчетный месяц в установленные настоящим Договором сроки.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5.6. В случае возникновения по окончательному расчету оплаты сверх выставленного Поставщиком к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количества тепловой энергии за расчетный период, указанная сумма засчитывается Поставщиком в счет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 за предыдущие периоды, либо при отсутствии задолженности в счет последующего периода оплаты.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5.7. Иные платежи, вытекающие из настоящего договора, оплачиваются Потребителем в течение 5 (пяти) дней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даты выставления платежных документов.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5.8.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при оплате в назначении платежа не будут указаны дата и номер счета-фактуры, то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 вправе суммами платежей, поступающие в счет оплаты обязательств, возникших по настоящему договору,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погашать задолженность (включая пени) с более ранним сроком образования вне зависимости от периода оплаты,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указанного в назначении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5.9. Оплата за тепловую энергию осуществляется Потребителем денежными средствами на расчетный счет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Агента Поставщика, указанный в разделе 9 настоящего договора. Иные формы расчётов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возможны только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письменного согласия Поставщика, оформленного надлежащим образом. Оплата тепловой энергии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произведенной с момента поступления денежных средств на расчетный счет Агента.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5.10. Стороны обязуются регулярно проводить сверку взаиморасчетов. Предложение о финансовой сверке,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поступившее от Поставщика с приложением Акта сверки, является обязательным для Потребителя. Потребитель,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получив Акт сверки, обязан в течение 5-ти рабочих дней его рассмотреть и подписать, либо направить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возражения.</w:t>
      </w:r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в указанный срок не подпишет Акт сверки или не направит Поставщику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 против его подписания, Акт сверки считается принятым Потребителем без разногласий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5.11.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не потребляет тепловую энергию, но не осуществил отсоединение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принадлежащих ему теплопотребляющих установок от тепловой сети, то Потребителем вносится плата Поставщику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услуги по поддержанию резервной тепловой мощности в сроки, установленные настоящим договором для оплаты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Плата за услуги по поддержанию резервной тепловой мощности определяется в соответствии с дополнительным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соглашением между сторонами, либо в случаях, предусмотренных действующим законодательством, в соответствии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 тарифом.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ПОРЯДОК ВВЕДЕНИЯ ОГРАНИЧЕНИЯ ИЛИ ПРЕКРАЩЕНИЯ ПОДАЧИ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ТЕПЛОВОЙ ЭНЕРГИИ, ТЕПЛОНОСИТЕЛЯ ПОТРЕБИТЕЛЮ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6.1. В случае наличия у Потребителя задолженности по оплате тепловой энергии (мощности), теплоносителя,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том числе в случае нарушения сроков предварительной оплаты, в размере, превышающем размер платы за более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один период платежа, установленный договором, Поставщик вправе ввести ограничения подачи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6.2. До введения ограничения подачи тепловой энергии, теплоносителя Потребителю Поставщик предупреждает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в письменной форме о возможности введения указанного ограничения в случае неуплаты задолженности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 истечения второго периода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6.3. При задержке платежей сверх установленного предупреждением срока Поставщик вправе ввести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ограничение подачи тепловой энергии, теплоносителя, с предупреждением об этом потребителя за сутки до введения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указанного ограничения путем направления письма, телефонограммы,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факсограммы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т.п. Ограничение подачи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вводится в установленный предупреждением срок путем сокращения подаваемого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объема теплоносителя и (или) снижения его температуры.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6.4. Поставщик имеет право осуществить в присутствии представителей Потребителя необходимые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переключения в теплопотребляющих установках, принадлежащих Потребителю, если Поставщик не может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реализовать с использованием своих объектов принадлежащее ему право ограничения потребления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Подача тепловой энергии возобновляется после погашения задолженности в полном объеме и оплаты услуг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подключению, согласно калькуляции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6.5. После возобновления подачи теплоэнергии Поставщик не обязан поставлять Потребителю недоданное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результате введения ограничения или прекращения подачи количество тепловой 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6.6. Поставщиком при выявлении им факта бездоговорного потребления тепловой энергии, теплоносителя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составляется акт о выявлении бездоговорного потребления тепловой энергии, теплоносителя.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 указанном акте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отражаются сведения о потребителе или об ином лице, осуществивших бездоговорное потребление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теплоносителя, о способе и месте осуществления такого бездоговорного потребления, описание приборов учета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момент составления указанного акта, дата предыдущей проверки, объяснения Потребителя или иного лица,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осуществивших бездоговорное потребление тепловой энергии, теплоносителя, относительно факта выявленного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бездоговорного потребления тепловой энергии, теплоносителя и их претензии к составленному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акту (в случае наличия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этих претензий). При составлении указанного акта должны присутствовать Потребитель или иное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лицо,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осуществившие бездоговорное потребление тепловой энергии, теплоносителя, либо их представители. Отказ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или иного лица, осуществивших бездоговорное потребление тепловой энергии, теплоносителя, либо 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представителей от подписания составленного акта, а также их отказ от присутствия при его составлении отражается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указанием причин этого отказа в указанном акте или в отдельном акте, составленном в присутствии двух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незаинтересованных лиц и подписанном ими.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6.7. Расчет объема бездоговорного потребления тепловой энергии, теплоносителя и их стоимости осуществляется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в течение пяти рабочих дней со дня составления акта о выявлении бездоговорного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на основании указанного акта, документов, представленных Потребителем или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иным лицом, осуществившими бездоговорное потребление тепловой энергии, теплоносителя. Объем бездоговорного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потребления тепловой энергии, теплоносителя определяется за весь период, истекший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 даты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предыдущей проверки,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месте осуществления бездоговорного потребления тепловой энергии, теплоносителя, но не более чем за три года.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6.8.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Стоимость тепловой энергии, теплоносителя, полученных в результате бездоговорного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теплоносителя, определяется в соответствии с действующими на дату взыскания тарифами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тепловую энергию, теплоноситель с учетом стоимости услуг по передаче тепловой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энергии и подлежит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Потребителем в пятнадцатидневный срок с момента получения соответствующего требования Поставщика.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неоплаты в указанный срок Потребителем тепловой энергии, теплоносителя,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полученных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результате бездоговорного потребления, Поставщик вправе прекратить подачу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энергии, теплоносителя и взыскать с потребителя убытки в полуторакратном размере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теплоносителя, полученных в результате бездоговорного потребления тепловой энергии, теплоносителя.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ОТВЕТСТВЕННОСТЬ СТОРОН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7.1. Стороны несут ответственность за несоблюдение требований к параметрам качества теплоснабжения,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нарушение режима потребления тепловой энергии, в том числе ответственность за нарушение условий о количестве,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качестве и значениях термодинамических параметров возвращаемого теплоносителя. Сторона, допустившая подобное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нарушение, обязана возместить другой стороне нанесенный такими действиями ущерб.</w:t>
      </w:r>
    </w:p>
    <w:p w:rsidR="00FC3774" w:rsidRPr="00B871E6" w:rsidRDefault="00FC3774" w:rsidP="00FC3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неисполнение или ненадлежащее исполнение Потребителем обязательств по оплате тепловой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(мощности) и (или) теплоносителя, Поставщик вправе потребовать от Потребителя уплаты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неустойки в размере двукратной ставки рефинансирования ЦБ РФ, установленной на день предъявления соответствующего требования, от суммы задолженности за каждый день просрочки, а также возмещения реального ущерба в соответствии с действующим законодательством РФ.</w:t>
      </w:r>
      <w:proofErr w:type="gramEnd"/>
    </w:p>
    <w:p w:rsidR="00C3476D" w:rsidRPr="00B871E6" w:rsidRDefault="00C3476D" w:rsidP="00511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7.3. Уплата неустойки не освобождает Потребителя от обязательств по настоящему договору, и устранения</w:t>
      </w:r>
      <w:r w:rsidR="005115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нарушений.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7.4. В случае нарушения Поставщиком порядка приостановления, прекращения исполнения обязательств по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договору Поставщик обязан возместить Потребителю возникшие в результате данного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нарушения</w:t>
      </w:r>
      <w:proofErr w:type="gramEnd"/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документально подтвержденные убытки в соответствии с гражданским законодательством.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7.5. Поставщик не несет ответственности перед Потребителем за качество тепловой энергии в случаях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нарушения Потребителем режима потребления тепловой энергии, в том числе нарушения условий о количестве,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качестве и значениях термодинамических параметров возвращаемого 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7.6. Уполномоченные должностные лица сторон, ответственные за исправное состояние и безопасную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эксплуатацию тепловых энергоустановок организации: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Со стороны Потребителя – ______________________________________________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изменении должностного лица со стороны Потребителя Потребитель уведомляет Поставщика.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Поставщика –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согласно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приказу по предприятию от «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___»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 20__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г. за №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Телефон: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Информация об изменении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уполномоченных должностных лиц Поставщика размещается на сайте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7.7. Каждая из сторон удостоверяет правильность указанных реквизитов. В случае изменения реквизитов любой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 сторон, стороны в течение 5-ти дней обязуются письменно уведомить другую сторону.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Каждая из сторон несет ответственность за убытки, причиненные ей или другой стороне по Договору в связи с не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уведомлением или несвоевременным уведомлением об изменении реквизитов и объёмов потребления тепловой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7.8. Стороны освобождаются от ответственности за неисполнение или ненадлежащее исполнение обязательств по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настоящему договору в случаях возникновения обстоятельств непреодолимой силы (форс-мажор), которые стороны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 могли предвидеть или предотвратить разумными мерами.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7.9. К обстоятельствам непреодолимой силы относятся события, на которые стороны не могут оказать влияния 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возникновение которых они не несут ответственности, в том числе, но, не ограничиваясь, землетрясения,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наводнения, ураганы и иные стихийные бедствия, войны, военные действия, пожары, аварии.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7.10. Все отношения, не оговоренные настоящим договором, регулируются в соответствии с действующим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СРОК ДЕЙСТВИЯ ДОГОВОРА И ПОРЯДОК РАЗРЕШЕНИЯ СПОРОВ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8.1. Настоящий договор вступает в сиу с момент его подписания обеими сторонами и действует по «31» декабря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 включительно. Действие настоящего договора распространяется на отношения сторон, возникшие с «___»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 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8.2. Договор считается продленным на тот же срок и на тех же условиях, если за месяц до окончания срока его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действия ни одна из сторон не заявит о его прекращении, изменении или о заключении нового договора. В случае если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сторонами заявлено о заключении нового договора, до заключения нового договора стороны руководствуются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условиями настоящего договора.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8.3. Споры, вытекающие из настоящего договора, а также о его расторжении или изменении рассматриваются в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арбитражном суде Новосибирской области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8.4. Данный договор составлен в двух экземплярах, из которых один находится у Поставщика, другой 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8.5. Настоящий договор состоит из основного текста на ___ стр. и следующих Приложений к настоящему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договору:</w:t>
      </w:r>
    </w:p>
    <w:p w:rsidR="00C3476D" w:rsidRPr="0039323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1.1. Расчет потребления тепловой энергии (по каждом</w:t>
      </w:r>
      <w:r w:rsidR="0075692E" w:rsidRPr="00393238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объекту) ____ стр.</w:t>
      </w:r>
    </w:p>
    <w:p w:rsidR="00C3476D" w:rsidRPr="0039323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2. Акт разграничения балансовой принадлежности тепловых сетей и эксплуатационной</w:t>
      </w:r>
      <w:r w:rsidR="00AF10DC"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ответственности сторон - ___ стр.</w:t>
      </w:r>
    </w:p>
    <w:p w:rsidR="00AF10DC" w:rsidRPr="00237302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7302">
        <w:rPr>
          <w:rFonts w:ascii="Times New Roman" w:hAnsi="Times New Roman" w:cs="Times New Roman"/>
          <w:color w:val="000000"/>
          <w:sz w:val="20"/>
          <w:szCs w:val="20"/>
        </w:rPr>
        <w:t>Приложение № 3 Информация о приборах учета - ____ ст.</w:t>
      </w:r>
      <w:r w:rsidR="00AF10DC" w:rsidRPr="00237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F06F41">
        <w:rPr>
          <w:rFonts w:ascii="Times New Roman" w:hAnsi="Times New Roman" w:cs="Times New Roman"/>
          <w:color w:val="000000"/>
          <w:sz w:val="20"/>
          <w:szCs w:val="20"/>
        </w:rPr>
        <w:t xml:space="preserve"> (только для бюджета)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«Планируемые объемы и стоимость из бюджетных средств» - ___ л.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F06F41">
        <w:rPr>
          <w:rFonts w:ascii="Times New Roman" w:hAnsi="Times New Roman" w:cs="Times New Roman"/>
          <w:color w:val="000000"/>
          <w:sz w:val="20"/>
          <w:szCs w:val="20"/>
        </w:rPr>
        <w:t xml:space="preserve">только для бюджета)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«Планируемые объемы и стоимость из внебюджетных средств» - ____ л.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РЕКВИЗИТЫ СТОРОН</w:t>
      </w:r>
    </w:p>
    <w:p w:rsidR="00C3476D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65A5" w:rsidTr="00214945">
        <w:tc>
          <w:tcPr>
            <w:tcW w:w="4785" w:type="dxa"/>
          </w:tcPr>
          <w:p w:rsidR="00E965A5" w:rsidRDefault="00E965A5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4786" w:type="dxa"/>
          </w:tcPr>
          <w:p w:rsidR="00E965A5" w:rsidRDefault="00E965A5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</w:p>
        </w:tc>
      </w:tr>
      <w:tr w:rsidR="00E965A5" w:rsidTr="00214945">
        <w:tc>
          <w:tcPr>
            <w:tcW w:w="4785" w:type="dxa"/>
          </w:tcPr>
          <w:p w:rsidR="00E965A5" w:rsidRPr="00842C39" w:rsidRDefault="00E965A5" w:rsidP="00E965A5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Pr="00842C3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C3654D" w:rsidRPr="00B025C1" w:rsidRDefault="00C3654D" w:rsidP="00C3654D">
            <w:pPr>
              <w:pStyle w:val="a8"/>
              <w:numPr>
                <w:ilvl w:val="12"/>
                <w:numId w:val="0"/>
              </w:numPr>
              <w:spacing w:before="0" w:after="0"/>
              <w:ind w:left="-851" w:right="0" w:firstLine="851"/>
              <w:rPr>
                <w:sz w:val="20"/>
              </w:rPr>
            </w:pPr>
            <w:r w:rsidRPr="00B025C1">
              <w:rPr>
                <w:sz w:val="20"/>
              </w:rPr>
              <w:t>РФ, 630009, г. Новосибирск, ул. Дунайская, 16/5.</w:t>
            </w:r>
          </w:p>
          <w:p w:rsidR="00C3654D" w:rsidRPr="00B025C1" w:rsidRDefault="00C3654D" w:rsidP="00C3654D">
            <w:pPr>
              <w:pStyle w:val="a8"/>
              <w:numPr>
                <w:ilvl w:val="12"/>
                <w:numId w:val="0"/>
              </w:numPr>
              <w:spacing w:before="0" w:after="0"/>
              <w:ind w:right="0"/>
              <w:jc w:val="both"/>
              <w:rPr>
                <w:sz w:val="20"/>
              </w:rPr>
            </w:pPr>
            <w:proofErr w:type="gramStart"/>
            <w:r w:rsidRPr="00B025C1">
              <w:rPr>
                <w:sz w:val="20"/>
              </w:rPr>
              <w:t>Адрес для направления корреспонденции по  договорам и расчетам за тепловую энергию и горячую воду):</w:t>
            </w:r>
            <w:proofErr w:type="gramEnd"/>
          </w:p>
          <w:p w:rsidR="00C3654D" w:rsidRPr="00B025C1" w:rsidRDefault="00C3654D" w:rsidP="00C3654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РФ, 633564, Новосибирская область, Маслянинский район, р. п. Маслянино, ул. Ленинская д. 37, офис 4, </w:t>
            </w:r>
            <w:proofErr w:type="gramEnd"/>
          </w:p>
          <w:p w:rsidR="00C3654D" w:rsidRPr="00AD5C74" w:rsidRDefault="00C3654D" w:rsidP="00C3654D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5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5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025C1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teplo</w:t>
            </w:r>
            <w:proofErr w:type="spellEnd"/>
            <w:r w:rsidRPr="00AD5C74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B025C1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maslyanino</w:t>
            </w:r>
            <w:proofErr w:type="spellEnd"/>
            <w:r w:rsidRPr="00AD5C74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@</w:t>
            </w:r>
            <w:proofErr w:type="spellStart"/>
            <w:r w:rsidRPr="00B025C1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gmail</w:t>
            </w:r>
            <w:proofErr w:type="spellEnd"/>
            <w:r w:rsidRPr="00AD5C74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B025C1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com</w:t>
            </w:r>
          </w:p>
          <w:p w:rsidR="00C3654D" w:rsidRPr="00B025C1" w:rsidRDefault="00C3654D" w:rsidP="00C365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Тел/факс: (383) 362-03-49, 362-03-48</w:t>
            </w:r>
          </w:p>
          <w:p w:rsidR="00C3654D" w:rsidRPr="00B025C1" w:rsidRDefault="00C3654D" w:rsidP="00C365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оплаты за тепловую энергию и (или) горячую воду: </w:t>
            </w:r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/с 40702810204000011351 </w:t>
            </w:r>
          </w:p>
          <w:p w:rsidR="00C3654D" w:rsidRPr="00B025C1" w:rsidRDefault="00C3654D" w:rsidP="00C365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 30101810500000000 в СИБИРСКИЙ Ф-Л ПАО «ПРОМСВЯЗЬБАНК» г. Новосибирск</w:t>
            </w:r>
          </w:p>
          <w:p w:rsidR="00C3654D" w:rsidRPr="00B025C1" w:rsidRDefault="00C3654D" w:rsidP="00C365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БИК 045004816,  </w:t>
            </w:r>
          </w:p>
          <w:p w:rsidR="00C3654D" w:rsidRPr="00B025C1" w:rsidRDefault="00C3654D" w:rsidP="00C365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ИНН 5405951229, КПП 540501001,  </w:t>
            </w:r>
          </w:p>
          <w:p w:rsidR="00C3654D" w:rsidRPr="00B025C1" w:rsidRDefault="00C3654D" w:rsidP="00C365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50381450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  ОКОГУ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4210014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54D" w:rsidRPr="00B025C1" w:rsidRDefault="00C3654D" w:rsidP="00C365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50701000001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  ОКВЭД  35.30.14,     </w:t>
            </w:r>
          </w:p>
          <w:p w:rsidR="00C3654D" w:rsidRPr="00B025C1" w:rsidRDefault="00C3654D" w:rsidP="00C365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ОГРН 1155476002824</w:t>
            </w:r>
          </w:p>
          <w:p w:rsidR="00E965A5" w:rsidRDefault="00E965A5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E965A5" w:rsidRDefault="00E965A5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4945" w:rsidTr="00214945">
        <w:tc>
          <w:tcPr>
            <w:tcW w:w="4785" w:type="dxa"/>
          </w:tcPr>
          <w:p w:rsidR="00214945" w:rsidRPr="00842C39" w:rsidRDefault="00214945" w:rsidP="00CF2A8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Е.А. Захаров</w:t>
            </w:r>
          </w:p>
        </w:tc>
        <w:tc>
          <w:tcPr>
            <w:tcW w:w="4786" w:type="dxa"/>
          </w:tcPr>
          <w:p w:rsidR="00214945" w:rsidRDefault="00214945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4945" w:rsidTr="00214945">
        <w:tc>
          <w:tcPr>
            <w:tcW w:w="4785" w:type="dxa"/>
          </w:tcPr>
          <w:p w:rsidR="00214945" w:rsidRPr="00842C39" w:rsidRDefault="00214945" w:rsidP="00CF2A8E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214945" w:rsidRPr="00842C39" w:rsidRDefault="00214945" w:rsidP="00CF2A8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4786" w:type="dxa"/>
          </w:tcPr>
          <w:p w:rsidR="00214945" w:rsidRDefault="00214945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D86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1.1.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</w:t>
      </w:r>
      <w:r w:rsidR="003932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№_____от __________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Расчет потребления тепловой энергии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Поставщик: </w:t>
            </w:r>
          </w:p>
        </w:tc>
        <w:tc>
          <w:tcPr>
            <w:tcW w:w="7535" w:type="dxa"/>
          </w:tcPr>
          <w:p w:rsidR="00D86EB3" w:rsidRPr="0000457E" w:rsidRDefault="00D86EB3" w:rsidP="008C7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r w:rsidR="008C78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Фагот</w:t>
            </w: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подключен к тепловым сетям котельной: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расчетные нагрузки на отопление, Гкал/час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вентиляцию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внутренняя, град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одоснабжение, час/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вентиляция, час/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07"/>
        <w:gridCol w:w="1507"/>
        <w:gridCol w:w="1507"/>
      </w:tblGrid>
      <w:tr w:rsidR="00366490" w:rsidRPr="0000457E" w:rsidTr="00366490">
        <w:trPr>
          <w:jc w:val="center"/>
        </w:trPr>
        <w:tc>
          <w:tcPr>
            <w:tcW w:w="1506" w:type="dxa"/>
            <w:vMerge w:val="restart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Месяцы</w:t>
            </w:r>
          </w:p>
        </w:tc>
        <w:tc>
          <w:tcPr>
            <w:tcW w:w="4521" w:type="dxa"/>
            <w:gridSpan w:val="3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4521" w:type="dxa"/>
            <w:gridSpan w:val="3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Вентиляция</w:t>
            </w: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  <w:vMerge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</w:tc>
        <w:tc>
          <w:tcPr>
            <w:tcW w:w="1507" w:type="dxa"/>
          </w:tcPr>
          <w:p w:rsidR="00366490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Поправ.</w:t>
            </w:r>
          </w:p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507" w:type="dxa"/>
          </w:tcPr>
          <w:p w:rsidR="00366490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</w:tc>
        <w:tc>
          <w:tcPr>
            <w:tcW w:w="1507" w:type="dxa"/>
          </w:tcPr>
          <w:p w:rsidR="00366490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Поправ.</w:t>
            </w:r>
          </w:p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507" w:type="dxa"/>
          </w:tcPr>
          <w:p w:rsidR="00366490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Гкал</w:t>
            </w: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D86EB3" w:rsidRPr="005C0A32" w:rsidTr="00F06F41">
        <w:tc>
          <w:tcPr>
            <w:tcW w:w="7534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D86EB3" w:rsidRPr="005C0A32" w:rsidTr="00F06F41">
        <w:tc>
          <w:tcPr>
            <w:tcW w:w="7534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D86EB3" w:rsidRPr="00B871E6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66490" w:rsidRDefault="00366490" w:rsidP="00413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Информация о приборах учета тепловой энергии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3"/>
        <w:gridCol w:w="1663"/>
        <w:gridCol w:w="1973"/>
        <w:gridCol w:w="1673"/>
        <w:gridCol w:w="1684"/>
        <w:gridCol w:w="1676"/>
        <w:gridCol w:w="1703"/>
        <w:gridCol w:w="1675"/>
        <w:gridCol w:w="1662"/>
      </w:tblGrid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Измеряемые параметры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Показания приборов учета на начало подачи ресурса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опломбирования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очередной поверки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Потери</w:t>
            </w: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237302" w:rsidRPr="005C0A32" w:rsidTr="00F06F41">
        <w:tc>
          <w:tcPr>
            <w:tcW w:w="7534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237302" w:rsidRPr="005C0A32" w:rsidTr="00F06F41">
        <w:tc>
          <w:tcPr>
            <w:tcW w:w="7534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117C0F" w:rsidSect="00D86EB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3"/>
    <w:rsid w:val="000B5527"/>
    <w:rsid w:val="00117C0F"/>
    <w:rsid w:val="00214945"/>
    <w:rsid w:val="00237302"/>
    <w:rsid w:val="002848E1"/>
    <w:rsid w:val="002862F2"/>
    <w:rsid w:val="00350FC8"/>
    <w:rsid w:val="00366490"/>
    <w:rsid w:val="00393238"/>
    <w:rsid w:val="003D6564"/>
    <w:rsid w:val="003F3AB6"/>
    <w:rsid w:val="00413DB8"/>
    <w:rsid w:val="00415880"/>
    <w:rsid w:val="0045739F"/>
    <w:rsid w:val="00500A0E"/>
    <w:rsid w:val="0051154B"/>
    <w:rsid w:val="005B521F"/>
    <w:rsid w:val="006135A8"/>
    <w:rsid w:val="006E51C6"/>
    <w:rsid w:val="0075692E"/>
    <w:rsid w:val="007832C2"/>
    <w:rsid w:val="007E50C5"/>
    <w:rsid w:val="00825A5C"/>
    <w:rsid w:val="00841739"/>
    <w:rsid w:val="00844956"/>
    <w:rsid w:val="00854823"/>
    <w:rsid w:val="00872B40"/>
    <w:rsid w:val="008758C8"/>
    <w:rsid w:val="008C5122"/>
    <w:rsid w:val="008C78A2"/>
    <w:rsid w:val="008E28CA"/>
    <w:rsid w:val="009024AF"/>
    <w:rsid w:val="00980384"/>
    <w:rsid w:val="00990E41"/>
    <w:rsid w:val="009E3669"/>
    <w:rsid w:val="00AA74AE"/>
    <w:rsid w:val="00AC15BE"/>
    <w:rsid w:val="00AD5C74"/>
    <w:rsid w:val="00AF10DC"/>
    <w:rsid w:val="00B40D8B"/>
    <w:rsid w:val="00B871E6"/>
    <w:rsid w:val="00BC638F"/>
    <w:rsid w:val="00BE46D2"/>
    <w:rsid w:val="00C177E3"/>
    <w:rsid w:val="00C26881"/>
    <w:rsid w:val="00C3476D"/>
    <w:rsid w:val="00C3654D"/>
    <w:rsid w:val="00CA5458"/>
    <w:rsid w:val="00CE491D"/>
    <w:rsid w:val="00D40FD3"/>
    <w:rsid w:val="00D86EB3"/>
    <w:rsid w:val="00DD188F"/>
    <w:rsid w:val="00E2438B"/>
    <w:rsid w:val="00E83674"/>
    <w:rsid w:val="00E965A5"/>
    <w:rsid w:val="00EB6DCF"/>
    <w:rsid w:val="00F06F41"/>
    <w:rsid w:val="00F47A47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styleId="a7">
    <w:name w:val="No Spacing"/>
    <w:uiPriority w:val="1"/>
    <w:qFormat/>
    <w:rsid w:val="00E965A5"/>
    <w:pPr>
      <w:spacing w:after="0" w:line="240" w:lineRule="auto"/>
    </w:pPr>
  </w:style>
  <w:style w:type="paragraph" w:customStyle="1" w:styleId="a8">
    <w:name w:val="Òàáëèöà òåêñò"/>
    <w:basedOn w:val="a"/>
    <w:rsid w:val="00E965A5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E965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styleId="a7">
    <w:name w:val="No Spacing"/>
    <w:uiPriority w:val="1"/>
    <w:qFormat/>
    <w:rsid w:val="00E965A5"/>
    <w:pPr>
      <w:spacing w:after="0" w:line="240" w:lineRule="auto"/>
    </w:pPr>
  </w:style>
  <w:style w:type="paragraph" w:customStyle="1" w:styleId="a8">
    <w:name w:val="Òàáëèöà òåêñò"/>
    <w:basedOn w:val="a"/>
    <w:rsid w:val="00E965A5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E96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21</cp:revision>
  <cp:lastPrinted>2017-03-13T09:45:00Z</cp:lastPrinted>
  <dcterms:created xsi:type="dcterms:W3CDTF">2017-05-11T09:47:00Z</dcterms:created>
  <dcterms:modified xsi:type="dcterms:W3CDTF">2017-06-13T05:52:00Z</dcterms:modified>
</cp:coreProperties>
</file>